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4711FC" w:rsidP="004A76C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Shareholder</w:t>
            </w:r>
            <w:r w:rsidR="004A76CE">
              <w:rPr>
                <w:rStyle w:val="Firstpagetablebold"/>
              </w:rPr>
              <w:t xml:space="preserve"> and Joint Venture Group</w:t>
            </w:r>
            <w:r>
              <w:rPr>
                <w:rStyle w:val="Firstpagetablebold"/>
              </w:rPr>
              <w:t xml:space="preserve"> </w:t>
            </w:r>
            <w:r w:rsidR="00475860">
              <w:rPr>
                <w:rStyle w:val="Firstpagetablebold"/>
              </w:rPr>
              <w:t>Meeting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23ACE" w:rsidP="005D0621">
            <w:pPr>
              <w:rPr>
                <w:b/>
              </w:rPr>
            </w:pPr>
            <w:r w:rsidRPr="00E67236">
              <w:rPr>
                <w:rStyle w:val="Firstpagetablebold"/>
                <w:color w:val="auto"/>
              </w:rPr>
              <w:t>25 September 2019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412AF7" w:rsidP="00D23ACE">
            <w:pPr>
              <w:rPr>
                <w:rStyle w:val="Firstpagetablebold"/>
              </w:rPr>
            </w:pPr>
            <w:r w:rsidRPr="00412AF7">
              <w:rPr>
                <w:rStyle w:val="Firstpagetablebold"/>
                <w:color w:val="auto"/>
              </w:rPr>
              <w:t>Housing Group</w:t>
            </w:r>
            <w:r w:rsidR="004A76CE">
              <w:rPr>
                <w:rStyle w:val="Firstpagetablebold"/>
                <w:color w:val="FF0000"/>
              </w:rPr>
              <w:t xml:space="preserve">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23ACE" w:rsidP="00D23ACE">
            <w:pPr>
              <w:rPr>
                <w:rStyle w:val="Firstpagetablebold"/>
              </w:rPr>
            </w:pPr>
            <w:r>
              <w:rPr>
                <w:rStyle w:val="Firstpagetablebold"/>
                <w:color w:val="auto"/>
              </w:rPr>
              <w:t xml:space="preserve">The Housing Group development site </w:t>
            </w:r>
            <w:r w:rsidRPr="00D23ACE">
              <w:rPr>
                <w:rStyle w:val="Firstpagetablebold"/>
                <w:color w:val="auto"/>
              </w:rPr>
              <w:t xml:space="preserve">delivery programme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6F6B78">
        <w:tc>
          <w:tcPr>
            <w:tcW w:w="8845" w:type="dxa"/>
            <w:gridSpan w:val="3"/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6F6B78">
        <w:tc>
          <w:tcPr>
            <w:tcW w:w="2438" w:type="dxa"/>
            <w:gridSpan w:val="2"/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hideMark/>
          </w:tcPr>
          <w:p w:rsidR="00D5547E" w:rsidRPr="001356F1" w:rsidRDefault="00332638" w:rsidP="00332638">
            <w:r w:rsidRPr="00332638">
              <w:rPr>
                <w:color w:val="auto"/>
              </w:rPr>
              <w:t>To provide an update on the status and progress of the Housing Group’s development site delivery programme</w:t>
            </w:r>
            <w:r w:rsidR="00D5547E" w:rsidRPr="00332638">
              <w:rPr>
                <w:color w:val="auto"/>
              </w:rPr>
              <w:t>.</w:t>
            </w:r>
          </w:p>
        </w:tc>
      </w:tr>
      <w:tr w:rsidR="005F7F7E" w:rsidRPr="00975B07" w:rsidTr="006F6B78">
        <w:trPr>
          <w:trHeight w:val="413"/>
        </w:trPr>
        <w:tc>
          <w:tcPr>
            <w:tcW w:w="8845" w:type="dxa"/>
            <w:gridSpan w:val="3"/>
          </w:tcPr>
          <w:p w:rsidR="005F7F7E" w:rsidRPr="00975B07" w:rsidRDefault="005F7F7E" w:rsidP="004A76CE">
            <w:r>
              <w:rPr>
                <w:rStyle w:val="Firstpagetablebold"/>
              </w:rPr>
              <w:t xml:space="preserve">Recommendation(s):That the </w:t>
            </w:r>
            <w:r w:rsidR="004711FC" w:rsidRPr="004A76CE">
              <w:rPr>
                <w:rStyle w:val="Firstpagetablebold"/>
                <w:color w:val="auto"/>
              </w:rPr>
              <w:t xml:space="preserve">Shareholder </w:t>
            </w:r>
            <w:r w:rsidR="004A76CE" w:rsidRPr="004A76CE">
              <w:rPr>
                <w:rStyle w:val="Firstpagetablebold"/>
                <w:color w:val="auto"/>
              </w:rPr>
              <w:t xml:space="preserve"> and Joint Venture Group </w:t>
            </w:r>
            <w:r>
              <w:rPr>
                <w:rStyle w:val="Firstpagetablebold"/>
              </w:rPr>
              <w:t>resolves to:</w:t>
            </w:r>
          </w:p>
        </w:tc>
      </w:tr>
      <w:tr w:rsidR="0030208D" w:rsidRPr="00975B07" w:rsidTr="006F6B78">
        <w:trPr>
          <w:trHeight w:val="283"/>
        </w:trPr>
        <w:tc>
          <w:tcPr>
            <w:tcW w:w="426" w:type="dxa"/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shd w:val="clear" w:color="auto" w:fill="auto"/>
          </w:tcPr>
          <w:p w:rsidR="0030208D" w:rsidRPr="00412AF7" w:rsidRDefault="00D23ACE" w:rsidP="0043203C">
            <w:pPr>
              <w:rPr>
                <w:color w:val="FF0000"/>
              </w:rPr>
            </w:pPr>
            <w:r w:rsidRPr="00D23ACE">
              <w:rPr>
                <w:rStyle w:val="Firstpagetablebold"/>
                <w:color w:val="auto"/>
              </w:rPr>
              <w:t xml:space="preserve">Note the </w:t>
            </w:r>
            <w:r w:rsidR="00332638">
              <w:rPr>
                <w:rStyle w:val="Firstpagetablebold"/>
                <w:color w:val="auto"/>
              </w:rPr>
              <w:t xml:space="preserve">status of the </w:t>
            </w:r>
            <w:r w:rsidRPr="00D23ACE">
              <w:rPr>
                <w:rStyle w:val="Firstpagetablebold"/>
                <w:color w:val="auto"/>
              </w:rPr>
              <w:t>Housing Group Delivery Programme</w:t>
            </w:r>
            <w:r w:rsidR="0030208D" w:rsidRPr="00D23ACE">
              <w:rPr>
                <w:color w:val="auto"/>
              </w:rPr>
              <w:t xml:space="preserve"> </w:t>
            </w:r>
          </w:p>
        </w:tc>
      </w:tr>
    </w:tbl>
    <w:p w:rsidR="00CE544A" w:rsidRPr="009E51FC" w:rsidRDefault="00CE544A" w:rsidP="004A6D2F"/>
    <w:p w:rsidR="000B08EF" w:rsidRDefault="00B912FC" w:rsidP="00332638">
      <w:pPr>
        <w:spacing w:after="0"/>
        <w:ind w:right="-448"/>
        <w:contextualSpacing/>
        <w:rPr>
          <w:rFonts w:eastAsiaTheme="minorHAnsi" w:cs="Arial"/>
          <w:b/>
          <w:color w:val="auto"/>
          <w:lang w:eastAsia="en-US"/>
        </w:rPr>
      </w:pPr>
      <w:r>
        <w:rPr>
          <w:rFonts w:eastAsiaTheme="minorHAnsi" w:cs="Arial"/>
          <w:b/>
          <w:color w:val="auto"/>
          <w:lang w:eastAsia="en-US"/>
        </w:rPr>
        <w:t>Highlights</w:t>
      </w:r>
    </w:p>
    <w:p w:rsidR="00B912FC" w:rsidRPr="00B912FC" w:rsidRDefault="00B912FC" w:rsidP="0043203C">
      <w:pPr>
        <w:pStyle w:val="ListParagraph"/>
        <w:numPr>
          <w:ilvl w:val="0"/>
          <w:numId w:val="41"/>
        </w:numPr>
        <w:spacing w:before="120" w:after="0"/>
        <w:ind w:left="1077" w:right="-448"/>
        <w:rPr>
          <w:rFonts w:eastAsiaTheme="minorHAnsi" w:cs="Arial"/>
          <w:color w:val="auto"/>
          <w:lang w:eastAsia="en-US"/>
        </w:rPr>
      </w:pPr>
      <w:r w:rsidRPr="00B912FC">
        <w:rPr>
          <w:rFonts w:eastAsiaTheme="minorHAnsi" w:cs="Arial"/>
          <w:color w:val="auto"/>
          <w:lang w:eastAsia="en-US"/>
        </w:rPr>
        <w:t xml:space="preserve">Rose Hill has started on site with a breaking ground ceremony planned. </w:t>
      </w:r>
    </w:p>
    <w:p w:rsidR="00B912FC" w:rsidRDefault="00B912FC" w:rsidP="0043203C">
      <w:pPr>
        <w:pStyle w:val="ListParagraph"/>
        <w:numPr>
          <w:ilvl w:val="0"/>
          <w:numId w:val="41"/>
        </w:numPr>
        <w:spacing w:before="120" w:after="0"/>
        <w:ind w:left="1077" w:right="-448"/>
        <w:rPr>
          <w:rFonts w:eastAsiaTheme="minorHAnsi" w:cs="Arial"/>
          <w:color w:val="auto"/>
          <w:lang w:eastAsia="en-US"/>
        </w:rPr>
      </w:pPr>
      <w:r w:rsidRPr="00B912FC">
        <w:rPr>
          <w:rFonts w:eastAsiaTheme="minorHAnsi" w:cs="Arial"/>
          <w:color w:val="auto"/>
          <w:lang w:eastAsia="en-US"/>
        </w:rPr>
        <w:t xml:space="preserve">Pre-commencement conditions have been cleared at Warren Crescent in order to secure the permission and prevent it expiring. </w:t>
      </w:r>
    </w:p>
    <w:p w:rsidR="00B912FC" w:rsidRPr="00B912FC" w:rsidRDefault="00B912FC" w:rsidP="0043203C">
      <w:pPr>
        <w:pStyle w:val="ListParagraph"/>
        <w:numPr>
          <w:ilvl w:val="0"/>
          <w:numId w:val="41"/>
        </w:numPr>
        <w:spacing w:before="120" w:after="0"/>
        <w:ind w:left="1077" w:right="-448"/>
        <w:rPr>
          <w:rFonts w:eastAsiaTheme="minorHAnsi" w:cs="Arial"/>
          <w:color w:val="auto"/>
          <w:lang w:eastAsia="en-US"/>
        </w:rPr>
      </w:pPr>
      <w:r w:rsidRPr="00B912FC">
        <w:rPr>
          <w:rFonts w:eastAsiaTheme="minorHAnsi" w:cs="Arial"/>
          <w:color w:val="auto"/>
          <w:lang w:eastAsia="en-US"/>
        </w:rPr>
        <w:t xml:space="preserve">Tendering exercise concluded for </w:t>
      </w:r>
      <w:proofErr w:type="spellStart"/>
      <w:r w:rsidRPr="00B912FC">
        <w:rPr>
          <w:rFonts w:eastAsiaTheme="minorHAnsi" w:cs="Arial"/>
          <w:color w:val="auto"/>
          <w:lang w:eastAsia="en-US"/>
        </w:rPr>
        <w:t>Elsfield</w:t>
      </w:r>
      <w:proofErr w:type="spellEnd"/>
      <w:r w:rsidRPr="00B912FC">
        <w:rPr>
          <w:rFonts w:eastAsiaTheme="minorHAnsi" w:cs="Arial"/>
          <w:color w:val="auto"/>
          <w:lang w:eastAsia="en-US"/>
        </w:rPr>
        <w:t xml:space="preserve">, Cumberlege </w:t>
      </w:r>
      <w:r>
        <w:rPr>
          <w:rFonts w:eastAsiaTheme="minorHAnsi" w:cs="Arial"/>
          <w:color w:val="auto"/>
          <w:lang w:eastAsia="en-US"/>
        </w:rPr>
        <w:t>and Between Towns Road with contractor appointment imminent.</w:t>
      </w:r>
    </w:p>
    <w:p w:rsidR="00B912FC" w:rsidRPr="00B912FC" w:rsidRDefault="00B912FC" w:rsidP="00B912FC">
      <w:pPr>
        <w:spacing w:after="0"/>
        <w:ind w:left="360" w:right="-448" w:hanging="360"/>
        <w:contextualSpacing/>
        <w:rPr>
          <w:rFonts w:eastAsiaTheme="minorHAnsi" w:cs="Arial"/>
          <w:b/>
          <w:color w:val="auto"/>
          <w:lang w:eastAsia="en-US"/>
        </w:rPr>
      </w:pPr>
    </w:p>
    <w:p w:rsidR="00332638" w:rsidRPr="00FB7F38" w:rsidRDefault="00332638" w:rsidP="00332638">
      <w:pPr>
        <w:spacing w:after="0"/>
        <w:ind w:right="-448"/>
        <w:contextualSpacing/>
        <w:rPr>
          <w:rFonts w:eastAsiaTheme="minorHAnsi" w:cs="Arial"/>
          <w:b/>
          <w:color w:val="auto"/>
          <w:lang w:eastAsia="en-US"/>
        </w:rPr>
      </w:pPr>
      <w:r w:rsidRPr="00FB7F38">
        <w:rPr>
          <w:rFonts w:eastAsiaTheme="minorHAnsi" w:cs="Arial"/>
          <w:b/>
          <w:color w:val="auto"/>
          <w:lang w:eastAsia="en-US"/>
        </w:rPr>
        <w:t>Current programme</w:t>
      </w:r>
    </w:p>
    <w:p w:rsidR="00332638" w:rsidRPr="00E67236" w:rsidRDefault="00332638" w:rsidP="00332638">
      <w:pPr>
        <w:spacing w:after="0"/>
        <w:ind w:left="360" w:right="-448"/>
        <w:contextualSpacing/>
        <w:rPr>
          <w:rFonts w:eastAsiaTheme="minorHAnsi" w:cs="Arial"/>
          <w:b/>
          <w:color w:val="auto"/>
          <w:lang w:eastAsia="en-US"/>
        </w:rPr>
      </w:pPr>
    </w:p>
    <w:p w:rsidR="00DD33CB" w:rsidRPr="00B912FC" w:rsidRDefault="00B912FC" w:rsidP="00B912FC">
      <w:pPr>
        <w:spacing w:after="0"/>
        <w:ind w:left="720" w:hanging="720"/>
        <w:rPr>
          <w:rFonts w:eastAsiaTheme="minorHAnsi" w:cs="Arial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</w:t>
      </w:r>
      <w:r>
        <w:rPr>
          <w:rFonts w:eastAsiaTheme="minorHAnsi"/>
          <w:color w:val="auto"/>
          <w:lang w:eastAsia="en-US"/>
        </w:rPr>
        <w:tab/>
      </w:r>
      <w:r w:rsidR="00332638" w:rsidRPr="00B912FC">
        <w:rPr>
          <w:rFonts w:eastAsiaTheme="minorHAnsi"/>
          <w:color w:val="auto"/>
          <w:lang w:eastAsia="en-US"/>
        </w:rPr>
        <w:t xml:space="preserve">The table below summarises progress with the </w:t>
      </w:r>
      <w:r w:rsidR="00DD33CB" w:rsidRPr="00B912FC">
        <w:rPr>
          <w:rFonts w:eastAsiaTheme="minorHAnsi"/>
          <w:color w:val="auto"/>
          <w:lang w:eastAsia="en-US"/>
        </w:rPr>
        <w:t xml:space="preserve">first phase </w:t>
      </w:r>
      <w:r w:rsidR="00332638" w:rsidRPr="00B912FC">
        <w:rPr>
          <w:rFonts w:eastAsiaTheme="minorHAnsi"/>
          <w:color w:val="auto"/>
          <w:lang w:eastAsia="en-US"/>
        </w:rPr>
        <w:t>development sites. In addition, so far 35 of the 95 social rented units in the first phase of Barton Park have been handed over</w:t>
      </w:r>
      <w:r w:rsidR="006F6B78" w:rsidRPr="00B912FC">
        <w:rPr>
          <w:rFonts w:eastAsiaTheme="minorHAnsi"/>
          <w:color w:val="auto"/>
          <w:lang w:eastAsia="en-US"/>
        </w:rPr>
        <w:t xml:space="preserve"> with 12 more due by the end of the month</w:t>
      </w:r>
      <w:r w:rsidR="00E67236" w:rsidRPr="00B912FC">
        <w:rPr>
          <w:rFonts w:eastAsiaTheme="minorHAnsi"/>
          <w:color w:val="auto"/>
          <w:lang w:eastAsia="en-US"/>
        </w:rPr>
        <w:t xml:space="preserve"> and a further 7 due in October.</w:t>
      </w:r>
      <w:r w:rsidR="000B08EF" w:rsidRPr="00B912FC">
        <w:rPr>
          <w:rFonts w:eastAsiaTheme="minorHAnsi"/>
          <w:color w:val="auto"/>
          <w:lang w:eastAsia="en-US"/>
        </w:rPr>
        <w:t xml:space="preserve"> </w:t>
      </w:r>
      <w:r w:rsidR="00332638" w:rsidRPr="00B912FC">
        <w:rPr>
          <w:rFonts w:eastAsiaTheme="minorHAnsi"/>
          <w:color w:val="auto"/>
          <w:lang w:eastAsia="en-US"/>
        </w:rPr>
        <w:t>Phase 3 (</w:t>
      </w:r>
      <w:proofErr w:type="spellStart"/>
      <w:r w:rsidR="00332638" w:rsidRPr="00B912FC">
        <w:rPr>
          <w:rFonts w:eastAsiaTheme="minorHAnsi"/>
          <w:color w:val="auto"/>
          <w:lang w:eastAsia="en-US"/>
        </w:rPr>
        <w:t>Redrow</w:t>
      </w:r>
      <w:proofErr w:type="spellEnd"/>
      <w:r w:rsidR="00332638" w:rsidRPr="00B912FC">
        <w:rPr>
          <w:rFonts w:eastAsiaTheme="minorHAnsi"/>
          <w:color w:val="auto"/>
          <w:lang w:eastAsia="en-US"/>
        </w:rPr>
        <w:t>) is currently moving ahead, with potentially 83 social rent homes</w:t>
      </w:r>
      <w:r w:rsidR="00E67236" w:rsidRPr="00B912FC">
        <w:rPr>
          <w:rFonts w:eastAsiaTheme="minorHAnsi"/>
          <w:color w:val="auto"/>
          <w:lang w:eastAsia="en-US"/>
        </w:rPr>
        <w:t xml:space="preserve"> to be delivered.</w:t>
      </w:r>
    </w:p>
    <w:p w:rsidR="00DD33CB" w:rsidRDefault="00DD33CB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p w:rsidR="00B912FC" w:rsidRDefault="00B912FC" w:rsidP="00DD33CB">
      <w:pPr>
        <w:spacing w:after="0"/>
        <w:rPr>
          <w:rFonts w:eastAsiaTheme="minorHAnsi" w:cs="Arial"/>
          <w:color w:val="auto"/>
          <w:lang w:eastAsia="en-US"/>
        </w:rPr>
      </w:pPr>
    </w:p>
    <w:tbl>
      <w:tblPr>
        <w:tblStyle w:val="TableGrid1"/>
        <w:tblW w:w="8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2"/>
        <w:gridCol w:w="1364"/>
        <w:gridCol w:w="990"/>
        <w:gridCol w:w="1325"/>
        <w:gridCol w:w="1560"/>
        <w:gridCol w:w="1417"/>
      </w:tblGrid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>Scheme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>Number of homes-Total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>Market sale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>S`106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 xml:space="preserve">Affordable Housing split : 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>Social Rent SR.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>Affordable Rent AR.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 xml:space="preserve">Shared Ownership SO.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>Comments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b/>
                <w:color w:val="auto"/>
              </w:rPr>
            </w:pPr>
            <w:r w:rsidRPr="00E67236">
              <w:rPr>
                <w:rFonts w:asciiTheme="minorHAnsi" w:hAnsiTheme="minorHAnsi"/>
                <w:b/>
                <w:color w:val="auto"/>
              </w:rPr>
              <w:t>Estimated Completion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Rose Hill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43 (all affordable)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18 SR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25 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E67236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 xml:space="preserve">Planning permission obtained – build contract signed with Feltham. Start on Site </w:t>
            </w:r>
            <w:r w:rsidR="00E67236" w:rsidRPr="00E67236">
              <w:rPr>
                <w:rFonts w:asciiTheme="minorHAnsi" w:hAnsiTheme="minorHAnsi"/>
                <w:color w:val="auto"/>
              </w:rPr>
              <w:t>achieved</w:t>
            </w:r>
            <w:r w:rsidRPr="00E67236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Dec 2020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Warren Crescent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10 (all affordable)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4 SR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6 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 xml:space="preserve">Planning permission obtained – build contract signed with </w:t>
            </w:r>
            <w:proofErr w:type="spellStart"/>
            <w:r w:rsidRPr="00E67236">
              <w:rPr>
                <w:rFonts w:asciiTheme="minorHAnsi" w:hAnsiTheme="minorHAnsi"/>
                <w:color w:val="auto"/>
              </w:rPr>
              <w:t>Leighfield</w:t>
            </w:r>
            <w:proofErr w:type="spellEnd"/>
            <w:r w:rsidRPr="00E67236">
              <w:rPr>
                <w:rFonts w:asciiTheme="minorHAnsi" w:hAnsiTheme="minorHAnsi"/>
                <w:color w:val="auto"/>
              </w:rPr>
              <w:t xml:space="preserve">. </w:t>
            </w:r>
            <w:r w:rsidR="00E67236">
              <w:rPr>
                <w:rFonts w:asciiTheme="minorHAnsi" w:hAnsiTheme="minorHAnsi"/>
                <w:color w:val="auto"/>
              </w:rPr>
              <w:t xml:space="preserve">Pre-commencement Planning conditions discharged. </w:t>
            </w:r>
            <w:r w:rsidRPr="00E67236">
              <w:rPr>
                <w:rFonts w:asciiTheme="minorHAnsi" w:hAnsiTheme="minorHAnsi"/>
                <w:color w:val="auto"/>
              </w:rPr>
              <w:t>Start on site – Sep 19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Footpath diversion to resolve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DD33CB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Dec 2021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proofErr w:type="spellStart"/>
            <w:r w:rsidRPr="00E67236">
              <w:rPr>
                <w:rFonts w:asciiTheme="minorHAnsi" w:hAnsiTheme="minorHAnsi"/>
                <w:color w:val="auto"/>
              </w:rPr>
              <w:t>Elsfield</w:t>
            </w:r>
            <w:proofErr w:type="spellEnd"/>
            <w:r w:rsidRPr="00E67236">
              <w:rPr>
                <w:rFonts w:asciiTheme="minorHAnsi" w:hAnsiTheme="minorHAnsi"/>
                <w:color w:val="auto"/>
              </w:rPr>
              <w:t xml:space="preserve"> Hall and Cumberlege Close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35 (18 affordable)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15 SR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3 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DD33CB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 xml:space="preserve">Planning permission obtained. Contractor appointment imminent for </w:t>
            </w:r>
            <w:r w:rsidRPr="00E67236">
              <w:rPr>
                <w:rFonts w:asciiTheme="minorHAnsi" w:hAnsiTheme="minorHAnsi"/>
                <w:color w:val="auto"/>
              </w:rPr>
              <w:lastRenderedPageBreak/>
              <w:t xml:space="preserve">a start on </w:t>
            </w:r>
            <w:r w:rsidR="00FE6747" w:rsidRPr="00E67236">
              <w:rPr>
                <w:rFonts w:asciiTheme="minorHAnsi" w:hAnsiTheme="minorHAnsi"/>
                <w:color w:val="auto"/>
              </w:rPr>
              <w:t>site Dec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FE6747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lastRenderedPageBreak/>
              <w:t>June 2021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lastRenderedPageBreak/>
              <w:t>Between Towns Road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FE6747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38 (</w:t>
            </w:r>
            <w:r w:rsidR="00FE6747" w:rsidRPr="00E67236">
              <w:rPr>
                <w:rFonts w:asciiTheme="minorHAnsi" w:hAnsiTheme="minorHAnsi"/>
                <w:color w:val="auto"/>
              </w:rPr>
              <w:t>all</w:t>
            </w:r>
            <w:r w:rsidRPr="00E67236">
              <w:rPr>
                <w:rFonts w:asciiTheme="minorHAnsi" w:hAnsiTheme="minorHAnsi"/>
                <w:color w:val="auto"/>
              </w:rPr>
              <w:t xml:space="preserve"> affordable</w:t>
            </w:r>
            <w:r w:rsidR="00FE6747" w:rsidRPr="00E67236">
              <w:rPr>
                <w:rFonts w:asciiTheme="minorHAnsi" w:hAnsiTheme="minorHAnsi"/>
                <w:color w:val="auto"/>
              </w:rPr>
              <w:t xml:space="preserve"> subject to Business Plan approval</w:t>
            </w:r>
            <w:r w:rsidRPr="00E67236">
              <w:rPr>
                <w:rFonts w:asciiTheme="minorHAnsi" w:hAnsiTheme="minorHAnsi"/>
                <w:color w:val="auto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FE6747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16 SR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2 AR</w:t>
            </w:r>
          </w:p>
          <w:p w:rsidR="00DD33CB" w:rsidRPr="00E67236" w:rsidRDefault="00FE6747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20</w:t>
            </w:r>
            <w:r w:rsidR="00DD33CB" w:rsidRPr="00E67236">
              <w:rPr>
                <w:rFonts w:asciiTheme="minorHAnsi" w:hAnsiTheme="minorHAnsi"/>
                <w:color w:val="auto"/>
              </w:rPr>
              <w:t xml:space="preserve"> 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FE6747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 xml:space="preserve">Planning permission obtained. </w:t>
            </w:r>
            <w:r w:rsidR="00FE6747" w:rsidRPr="00E67236">
              <w:rPr>
                <w:rFonts w:asciiTheme="minorHAnsi" w:hAnsiTheme="minorHAnsi"/>
                <w:color w:val="auto"/>
              </w:rPr>
              <w:t>Contractor appointment imminent for a start on site Dec 19.</w:t>
            </w:r>
            <w:r w:rsidRPr="00E67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FE6747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June 2021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Harts Close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2 (both affordable)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 SR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 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FE6747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 xml:space="preserve">Planning permission obtained </w:t>
            </w:r>
            <w:r w:rsidR="00FE6747" w:rsidRPr="00E67236">
              <w:rPr>
                <w:rFonts w:asciiTheme="minorHAnsi" w:hAnsiTheme="minorHAnsi"/>
                <w:color w:val="auto"/>
              </w:rPr>
              <w:t>Price agreed with contractor for start this 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FE6747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Sep</w:t>
            </w:r>
            <w:r w:rsidR="00DD33CB" w:rsidRPr="00E67236">
              <w:rPr>
                <w:rFonts w:asciiTheme="minorHAnsi" w:hAnsiTheme="minorHAnsi"/>
                <w:color w:val="auto"/>
              </w:rPr>
              <w:t xml:space="preserve"> 2020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Lucy Faithfull House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36 (18 affordable)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15 SR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3 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FE6747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Planning application being prepared for submission next 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FE6747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Aug</w:t>
            </w:r>
            <w:r w:rsidR="00DD33CB" w:rsidRPr="00E67236">
              <w:rPr>
                <w:rFonts w:asciiTheme="minorHAnsi" w:hAnsiTheme="minorHAnsi"/>
                <w:color w:val="auto"/>
              </w:rPr>
              <w:t xml:space="preserve"> 2021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Underhill Circus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36 (18 affordable)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16 SR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2 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6F6B78" w:rsidP="00FE6747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Further design work underway in conjunction with Planning</w:t>
            </w:r>
            <w:r w:rsidR="00DD33CB" w:rsidRPr="00E67236">
              <w:rPr>
                <w:rFonts w:asciiTheme="minorHAnsi" w:hAnsiTheme="minorHAnsi"/>
                <w:color w:val="auto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6F6B78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March 2022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proofErr w:type="spellStart"/>
            <w:r w:rsidRPr="00E67236">
              <w:rPr>
                <w:rFonts w:asciiTheme="minorHAnsi" w:hAnsiTheme="minorHAnsi"/>
                <w:color w:val="auto"/>
              </w:rPr>
              <w:t>Edgecombe</w:t>
            </w:r>
            <w:proofErr w:type="spellEnd"/>
            <w:r w:rsidRPr="00E67236">
              <w:rPr>
                <w:rFonts w:asciiTheme="minorHAnsi" w:hAnsiTheme="minorHAnsi"/>
                <w:color w:val="auto"/>
              </w:rPr>
              <w:t xml:space="preserve"> Drive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7 (all affordable)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3 SR</w:t>
            </w:r>
          </w:p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4 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6F6B78" w:rsidP="006F6B78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Planning application to be submitted this month.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6F6B78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March</w:t>
            </w:r>
            <w:r w:rsidR="00DD33CB" w:rsidRPr="00E67236">
              <w:rPr>
                <w:rFonts w:asciiTheme="minorHAnsi" w:hAnsiTheme="minorHAnsi"/>
                <w:color w:val="auto"/>
              </w:rPr>
              <w:t xml:space="preserve"> 2021</w:t>
            </w:r>
          </w:p>
        </w:tc>
      </w:tr>
      <w:tr w:rsidR="00E67236" w:rsidRPr="00E67236" w:rsidTr="00DD33C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Bracegirdle, Mortimer, Broad Oak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DD33CB" w:rsidP="006269F1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8 (</w:t>
            </w:r>
            <w:r w:rsidR="006269F1">
              <w:rPr>
                <w:rFonts w:asciiTheme="minorHAnsi" w:hAnsiTheme="minorHAnsi"/>
                <w:color w:val="auto"/>
              </w:rPr>
              <w:t xml:space="preserve">all </w:t>
            </w:r>
            <w:r w:rsidRPr="00E67236">
              <w:rPr>
                <w:rFonts w:asciiTheme="minorHAnsi" w:hAnsiTheme="minorHAnsi"/>
                <w:color w:val="auto"/>
              </w:rPr>
              <w:t>affordable)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6F6B78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E67236" w:rsidRDefault="006F6B78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3</w:t>
            </w:r>
            <w:r w:rsidR="00DD33CB" w:rsidRPr="00E67236">
              <w:rPr>
                <w:rFonts w:asciiTheme="minorHAnsi" w:hAnsiTheme="minorHAnsi"/>
                <w:color w:val="auto"/>
              </w:rPr>
              <w:t xml:space="preserve"> SR</w:t>
            </w:r>
          </w:p>
          <w:p w:rsidR="006F6B78" w:rsidRPr="00E67236" w:rsidRDefault="006F6B78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5 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6F6B78" w:rsidP="006F6B78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 xml:space="preserve">Planning permission obtained. ODS appointed to deliver schemes. Start on site due by end of October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B" w:rsidRPr="00E67236" w:rsidRDefault="006F6B78" w:rsidP="009C14BA">
            <w:pPr>
              <w:rPr>
                <w:rFonts w:asciiTheme="minorHAnsi" w:hAnsiTheme="minorHAnsi"/>
                <w:color w:val="auto"/>
              </w:rPr>
            </w:pPr>
            <w:r w:rsidRPr="00E67236">
              <w:rPr>
                <w:rFonts w:asciiTheme="minorHAnsi" w:hAnsiTheme="minorHAnsi"/>
                <w:color w:val="auto"/>
              </w:rPr>
              <w:t>Oct</w:t>
            </w:r>
            <w:r w:rsidR="00DD33CB" w:rsidRPr="00E67236">
              <w:rPr>
                <w:rFonts w:asciiTheme="minorHAnsi" w:hAnsiTheme="minorHAnsi"/>
                <w:color w:val="auto"/>
              </w:rPr>
              <w:t xml:space="preserve"> 2020</w:t>
            </w:r>
          </w:p>
        </w:tc>
      </w:tr>
    </w:tbl>
    <w:p w:rsidR="00332638" w:rsidRPr="00E67236" w:rsidRDefault="00332638" w:rsidP="00332638">
      <w:pPr>
        <w:spacing w:after="0"/>
        <w:ind w:right="-448"/>
        <w:rPr>
          <w:rFonts w:eastAsiaTheme="minorHAnsi" w:cs="Arial"/>
          <w:b/>
          <w:color w:val="auto"/>
          <w:lang w:eastAsia="en-US"/>
        </w:rPr>
      </w:pPr>
    </w:p>
    <w:p w:rsidR="00332638" w:rsidRPr="00E67236" w:rsidRDefault="00332638" w:rsidP="00332638">
      <w:pPr>
        <w:spacing w:after="0"/>
        <w:ind w:right="-448"/>
        <w:rPr>
          <w:rFonts w:eastAsiaTheme="minorHAnsi" w:cs="Arial"/>
          <w:color w:val="auto"/>
          <w:lang w:eastAsia="en-US"/>
        </w:rPr>
      </w:pPr>
      <w:r w:rsidRPr="00E67236">
        <w:rPr>
          <w:rFonts w:eastAsiaTheme="minorHAnsi" w:cs="Arial"/>
          <w:b/>
          <w:color w:val="auto"/>
          <w:lang w:eastAsia="en-US"/>
        </w:rPr>
        <w:lastRenderedPageBreak/>
        <w:t>Developing a delivery programme of the next batch of council sites potentially for the Housing Group</w:t>
      </w:r>
    </w:p>
    <w:p w:rsidR="00332638" w:rsidRPr="00E67236" w:rsidRDefault="00332638" w:rsidP="00332638">
      <w:pPr>
        <w:spacing w:after="0"/>
        <w:ind w:left="360" w:right="-448"/>
        <w:contextualSpacing/>
        <w:rPr>
          <w:rFonts w:eastAsiaTheme="minorHAnsi" w:cs="Arial"/>
          <w:color w:val="auto"/>
          <w:lang w:eastAsia="en-US"/>
        </w:rPr>
      </w:pPr>
    </w:p>
    <w:p w:rsidR="00332638" w:rsidRPr="00E67236" w:rsidRDefault="00332638" w:rsidP="0043203C">
      <w:pPr>
        <w:pStyle w:val="ListParagraph"/>
        <w:rPr>
          <w:rFonts w:eastAsiaTheme="minorHAnsi"/>
          <w:lang w:eastAsia="en-US"/>
        </w:rPr>
      </w:pPr>
      <w:r w:rsidRPr="00E67236">
        <w:rPr>
          <w:rFonts w:eastAsiaTheme="minorHAnsi"/>
          <w:lang w:eastAsia="en-US"/>
        </w:rPr>
        <w:t xml:space="preserve">A detailed review of the potential pipeline of Oxford City Council sites </w:t>
      </w:r>
      <w:r w:rsidR="00E67236" w:rsidRPr="00E67236">
        <w:rPr>
          <w:rFonts w:eastAsiaTheme="minorHAnsi"/>
          <w:lang w:eastAsia="en-US"/>
        </w:rPr>
        <w:t xml:space="preserve">is being undertaken by OCHL in conjunction with </w:t>
      </w:r>
      <w:r w:rsidRPr="00E67236">
        <w:rPr>
          <w:rFonts w:eastAsiaTheme="minorHAnsi"/>
          <w:lang w:eastAsia="en-US"/>
        </w:rPr>
        <w:t xml:space="preserve">Planning as part of the wider review of deliverable sites across the City. </w:t>
      </w:r>
      <w:r w:rsidR="00E67236" w:rsidRPr="00E67236">
        <w:rPr>
          <w:rFonts w:eastAsiaTheme="minorHAnsi"/>
          <w:lang w:eastAsia="en-US"/>
        </w:rPr>
        <w:t>These sites are not programmed as yet as their feasibility is still being investigated.</w:t>
      </w:r>
    </w:p>
    <w:p w:rsidR="0040736F" w:rsidRPr="00E67236" w:rsidRDefault="002329CF" w:rsidP="004A6D2F">
      <w:pPr>
        <w:pStyle w:val="Heading1"/>
        <w:rPr>
          <w:color w:val="auto"/>
        </w:rPr>
      </w:pPr>
      <w:r w:rsidRPr="00E67236">
        <w:rPr>
          <w:color w:val="auto"/>
        </w:rPr>
        <w:t>Financial implications</w:t>
      </w:r>
    </w:p>
    <w:p w:rsidR="00E87F7A" w:rsidRPr="00E67236" w:rsidRDefault="00332638" w:rsidP="005570B5">
      <w:pPr>
        <w:pStyle w:val="ListParagraph"/>
        <w:rPr>
          <w:color w:val="auto"/>
        </w:rPr>
      </w:pPr>
      <w:r w:rsidRPr="00E67236">
        <w:rPr>
          <w:color w:val="auto"/>
        </w:rPr>
        <w:t>T</w:t>
      </w:r>
      <w:r w:rsidR="00E87F7A" w:rsidRPr="00E67236">
        <w:rPr>
          <w:color w:val="auto"/>
        </w:rPr>
        <w:t>here are no financial implications</w:t>
      </w:r>
      <w:r w:rsidRPr="00E67236">
        <w:rPr>
          <w:color w:val="auto"/>
        </w:rPr>
        <w:t xml:space="preserve"> arising directly from this report</w:t>
      </w:r>
      <w:r w:rsidR="00E87F7A" w:rsidRPr="00E67236">
        <w:rPr>
          <w:color w:val="auto"/>
        </w:rPr>
        <w:t>.</w:t>
      </w:r>
      <w:r w:rsidR="008F1DD0">
        <w:rPr>
          <w:color w:val="auto"/>
        </w:rPr>
        <w:t xml:space="preserve"> Any financial issues that arise will be addressed on a site by site basis as required.</w:t>
      </w:r>
    </w:p>
    <w:p w:rsidR="0040736F" w:rsidRPr="00E67236" w:rsidRDefault="00DA614B" w:rsidP="004A6D2F">
      <w:pPr>
        <w:pStyle w:val="Heading1"/>
        <w:rPr>
          <w:color w:val="auto"/>
        </w:rPr>
      </w:pPr>
      <w:r w:rsidRPr="00E67236">
        <w:rPr>
          <w:color w:val="auto"/>
        </w:rPr>
        <w:t>Legal issues</w:t>
      </w:r>
    </w:p>
    <w:p w:rsidR="00332638" w:rsidRPr="00E67236" w:rsidRDefault="00332638" w:rsidP="00332638">
      <w:pPr>
        <w:pStyle w:val="ListParagraph"/>
        <w:rPr>
          <w:color w:val="auto"/>
        </w:rPr>
      </w:pPr>
      <w:r w:rsidRPr="00E67236">
        <w:rPr>
          <w:color w:val="auto"/>
        </w:rPr>
        <w:t xml:space="preserve">There are no </w:t>
      </w:r>
      <w:r w:rsidR="008F1DD0">
        <w:rPr>
          <w:color w:val="auto"/>
        </w:rPr>
        <w:t>legal</w:t>
      </w:r>
      <w:r w:rsidRPr="00E67236">
        <w:rPr>
          <w:color w:val="auto"/>
        </w:rPr>
        <w:t xml:space="preserve"> implications arising directly from this report.</w:t>
      </w:r>
      <w:r w:rsidR="008F1DD0">
        <w:rPr>
          <w:color w:val="auto"/>
        </w:rPr>
        <w:t xml:space="preserve"> </w:t>
      </w:r>
      <w:r w:rsidR="008F1DD0">
        <w:rPr>
          <w:color w:val="auto"/>
        </w:rPr>
        <w:t xml:space="preserve">Any </w:t>
      </w:r>
      <w:r w:rsidR="008F1DD0">
        <w:rPr>
          <w:color w:val="auto"/>
        </w:rPr>
        <w:t>legal</w:t>
      </w:r>
      <w:r w:rsidR="008F1DD0">
        <w:rPr>
          <w:color w:val="auto"/>
        </w:rPr>
        <w:t xml:space="preserve"> issues that arise will be addressed on a site by site basis as required.</w:t>
      </w:r>
    </w:p>
    <w:p w:rsidR="002329CF" w:rsidRPr="00E67236" w:rsidRDefault="002329CF" w:rsidP="004A6D2F">
      <w:pPr>
        <w:pStyle w:val="Heading1"/>
        <w:rPr>
          <w:color w:val="auto"/>
        </w:rPr>
      </w:pPr>
      <w:r w:rsidRPr="00E67236">
        <w:rPr>
          <w:color w:val="auto"/>
        </w:rPr>
        <w:t>Level of risk</w:t>
      </w:r>
    </w:p>
    <w:p w:rsidR="00332638" w:rsidRPr="00E67236" w:rsidRDefault="00332638" w:rsidP="00332638">
      <w:pPr>
        <w:pStyle w:val="ListParagraph"/>
        <w:rPr>
          <w:color w:val="auto"/>
        </w:rPr>
      </w:pPr>
      <w:r w:rsidRPr="00E67236">
        <w:rPr>
          <w:color w:val="auto"/>
        </w:rPr>
        <w:t>There are no risks arising directly from this report.</w:t>
      </w:r>
      <w:r w:rsidR="008F1DD0">
        <w:rPr>
          <w:color w:val="auto"/>
        </w:rPr>
        <w:t xml:space="preserve"> Risks relating to individual sites will be addressed in the company risk register.</w:t>
      </w:r>
    </w:p>
    <w:p w:rsidR="002329CF" w:rsidRPr="00E67236" w:rsidRDefault="002329CF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E67236" w:rsidRPr="00E67236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E67236" w:rsidRDefault="00E87F7A" w:rsidP="00A46E98">
            <w:pPr>
              <w:rPr>
                <w:b/>
                <w:color w:val="auto"/>
              </w:rPr>
            </w:pPr>
            <w:r w:rsidRPr="00E67236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E67236" w:rsidRDefault="00D23ACE" w:rsidP="00A46E98">
            <w:pPr>
              <w:rPr>
                <w:color w:val="auto"/>
              </w:rPr>
            </w:pPr>
            <w:r w:rsidRPr="00E67236">
              <w:rPr>
                <w:color w:val="auto"/>
              </w:rPr>
              <w:t>Alan Wylde</w:t>
            </w:r>
          </w:p>
        </w:tc>
      </w:tr>
      <w:tr w:rsidR="00E67236" w:rsidRPr="00E67236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67236" w:rsidRDefault="00E87F7A" w:rsidP="00A46E98">
            <w:pPr>
              <w:rPr>
                <w:color w:val="auto"/>
              </w:rPr>
            </w:pPr>
            <w:r w:rsidRPr="00E67236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67236" w:rsidRDefault="00E87F7A" w:rsidP="00E67236">
            <w:pPr>
              <w:rPr>
                <w:color w:val="auto"/>
              </w:rPr>
            </w:pPr>
            <w:r w:rsidRPr="00E67236">
              <w:rPr>
                <w:color w:val="auto"/>
              </w:rPr>
              <w:t xml:space="preserve">01865 </w:t>
            </w:r>
            <w:r w:rsidR="00E67236" w:rsidRPr="00E67236">
              <w:rPr>
                <w:color w:val="auto"/>
              </w:rPr>
              <w:t>252319</w:t>
            </w:r>
            <w:r w:rsidRPr="00E67236">
              <w:rPr>
                <w:color w:val="auto"/>
              </w:rPr>
              <w:t xml:space="preserve">  </w:t>
            </w:r>
          </w:p>
        </w:tc>
      </w:tr>
      <w:tr w:rsidR="005570B5" w:rsidRPr="00E67236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E67236" w:rsidRDefault="00E87F7A" w:rsidP="00A46E98">
            <w:pPr>
              <w:rPr>
                <w:color w:val="auto"/>
              </w:rPr>
            </w:pPr>
            <w:r w:rsidRPr="00E67236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E67236" w:rsidRDefault="00E67236" w:rsidP="00A46E98">
            <w:pPr>
              <w:rPr>
                <w:rStyle w:val="Hyperlink"/>
                <w:color w:val="auto"/>
              </w:rPr>
            </w:pPr>
            <w:r w:rsidRPr="00E67236">
              <w:rPr>
                <w:rStyle w:val="Hyperlink"/>
                <w:color w:val="auto"/>
              </w:rPr>
              <w:t>awylde@gmail.com</w:t>
            </w:r>
          </w:p>
        </w:tc>
      </w:tr>
    </w:tbl>
    <w:p w:rsidR="00433B96" w:rsidRPr="00E67236" w:rsidRDefault="00433B96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E67236" w:rsidRPr="00E67236" w:rsidTr="00A955E7">
        <w:tc>
          <w:tcPr>
            <w:tcW w:w="2552" w:type="dxa"/>
            <w:shd w:val="clear" w:color="auto" w:fill="auto"/>
          </w:tcPr>
          <w:p w:rsidR="004711FC" w:rsidRPr="00E67236" w:rsidRDefault="004711FC" w:rsidP="004711FC">
            <w:pPr>
              <w:rPr>
                <w:b/>
                <w:color w:val="auto"/>
              </w:rPr>
            </w:pPr>
            <w:r w:rsidRPr="00E67236">
              <w:rPr>
                <w:b/>
                <w:color w:val="auto"/>
              </w:rPr>
              <w:t>Housing Group Board clearance:</w:t>
            </w:r>
          </w:p>
        </w:tc>
        <w:tc>
          <w:tcPr>
            <w:tcW w:w="6379" w:type="dxa"/>
            <w:shd w:val="clear" w:color="auto" w:fill="auto"/>
          </w:tcPr>
          <w:p w:rsidR="004711FC" w:rsidRPr="00E67236" w:rsidRDefault="00B912FC" w:rsidP="004711FC">
            <w:pPr>
              <w:rPr>
                <w:color w:val="auto"/>
              </w:rPr>
            </w:pPr>
            <w:r>
              <w:rPr>
                <w:color w:val="auto"/>
              </w:rPr>
              <w:t>17/9/19 – all Directors</w:t>
            </w:r>
          </w:p>
        </w:tc>
      </w:tr>
      <w:tr w:rsidR="00E67236" w:rsidRPr="00E67236" w:rsidTr="00A955E7">
        <w:tc>
          <w:tcPr>
            <w:tcW w:w="2552" w:type="dxa"/>
            <w:shd w:val="clear" w:color="auto" w:fill="auto"/>
          </w:tcPr>
          <w:p w:rsidR="004711FC" w:rsidRPr="00E67236" w:rsidRDefault="004711FC" w:rsidP="004711FC">
            <w:pPr>
              <w:rPr>
                <w:b/>
                <w:color w:val="auto"/>
              </w:rPr>
            </w:pPr>
            <w:r w:rsidRPr="00E67236">
              <w:rPr>
                <w:b/>
                <w:color w:val="auto"/>
              </w:rPr>
              <w:t>Finance clearance:</w:t>
            </w:r>
          </w:p>
        </w:tc>
        <w:tc>
          <w:tcPr>
            <w:tcW w:w="6379" w:type="dxa"/>
            <w:shd w:val="clear" w:color="auto" w:fill="auto"/>
          </w:tcPr>
          <w:p w:rsidR="004711FC" w:rsidRPr="00E67236" w:rsidRDefault="00B912FC" w:rsidP="004711FC">
            <w:pPr>
              <w:rPr>
                <w:color w:val="auto"/>
              </w:rPr>
            </w:pPr>
            <w:r>
              <w:rPr>
                <w:color w:val="auto"/>
              </w:rPr>
              <w:t>17/9/19 – David Watt</w:t>
            </w:r>
          </w:p>
        </w:tc>
      </w:tr>
      <w:tr w:rsidR="004711FC" w:rsidRPr="00E67236" w:rsidTr="00A955E7">
        <w:tc>
          <w:tcPr>
            <w:tcW w:w="2552" w:type="dxa"/>
            <w:shd w:val="clear" w:color="auto" w:fill="auto"/>
          </w:tcPr>
          <w:p w:rsidR="004711FC" w:rsidRPr="00E67236" w:rsidRDefault="004711FC" w:rsidP="004711FC">
            <w:pPr>
              <w:rPr>
                <w:b/>
                <w:color w:val="auto"/>
              </w:rPr>
            </w:pPr>
            <w:r w:rsidRPr="00E67236">
              <w:rPr>
                <w:b/>
                <w:color w:val="auto"/>
              </w:rPr>
              <w:t>Legal clearance:</w:t>
            </w:r>
          </w:p>
        </w:tc>
        <w:tc>
          <w:tcPr>
            <w:tcW w:w="6379" w:type="dxa"/>
            <w:shd w:val="clear" w:color="auto" w:fill="auto"/>
          </w:tcPr>
          <w:p w:rsidR="004711FC" w:rsidRPr="00E67236" w:rsidRDefault="00BD7C7D" w:rsidP="004711FC">
            <w:pPr>
              <w:rPr>
                <w:color w:val="auto"/>
              </w:rPr>
            </w:pPr>
            <w:r w:rsidRPr="008F1DD0">
              <w:rPr>
                <w:color w:val="auto"/>
              </w:rPr>
              <w:t>17/9/19 – L Cane</w:t>
            </w:r>
            <w:bookmarkStart w:id="0" w:name="_GoBack"/>
            <w:bookmarkEnd w:id="0"/>
          </w:p>
        </w:tc>
      </w:tr>
    </w:tbl>
    <w:p w:rsidR="0054712D" w:rsidRPr="00E67236" w:rsidRDefault="0054712D" w:rsidP="0093067A">
      <w:pPr>
        <w:rPr>
          <w:color w:val="auto"/>
        </w:rPr>
      </w:pPr>
    </w:p>
    <w:p w:rsidR="004456DD" w:rsidRPr="00E67236" w:rsidRDefault="004456DD" w:rsidP="0093067A">
      <w:pPr>
        <w:rPr>
          <w:color w:val="auto"/>
        </w:rPr>
      </w:pPr>
    </w:p>
    <w:sectPr w:rsidR="004456DD" w:rsidRPr="00E67236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29" w:rsidRDefault="00484329" w:rsidP="004A6D2F">
      <w:r>
        <w:separator/>
      </w:r>
    </w:p>
  </w:endnote>
  <w:endnote w:type="continuationSeparator" w:id="0">
    <w:p w:rsidR="00484329" w:rsidRDefault="00484329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29" w:rsidRDefault="00484329" w:rsidP="004A6D2F">
      <w:r>
        <w:separator/>
      </w:r>
    </w:p>
  </w:footnote>
  <w:footnote w:type="continuationSeparator" w:id="0">
    <w:p w:rsidR="00484329" w:rsidRDefault="00484329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484329" w:rsidP="00D5547E">
    <w:pPr>
      <w:pStyle w:val="Header"/>
      <w:jc w:val="right"/>
    </w:pPr>
    <w:r>
      <w:rPr>
        <w:noProof/>
      </w:rPr>
      <w:drawing>
        <wp:inline distT="0" distB="0" distL="0" distR="0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AD5674"/>
    <w:multiLevelType w:val="hybridMultilevel"/>
    <w:tmpl w:val="0C382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B474D"/>
    <w:multiLevelType w:val="hybridMultilevel"/>
    <w:tmpl w:val="C30A12DC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343137"/>
    <w:multiLevelType w:val="hybridMultilevel"/>
    <w:tmpl w:val="76BEF1E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8354C2"/>
    <w:multiLevelType w:val="hybridMultilevel"/>
    <w:tmpl w:val="7F789F94"/>
    <w:lvl w:ilvl="0" w:tplc="C58E5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63A6A"/>
    <w:multiLevelType w:val="multilevel"/>
    <w:tmpl w:val="43D6D2FA"/>
    <w:numStyleLink w:val="StyleBulletedSymbolsymbolLeft063cmHanging063cm"/>
  </w:abstractNum>
  <w:abstractNum w:abstractNumId="22">
    <w:nsid w:val="260F494C"/>
    <w:multiLevelType w:val="hybridMultilevel"/>
    <w:tmpl w:val="F4C24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728B9"/>
    <w:multiLevelType w:val="hybridMultilevel"/>
    <w:tmpl w:val="93860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BA5FD8"/>
    <w:multiLevelType w:val="multilevel"/>
    <w:tmpl w:val="43D6D2FA"/>
    <w:numStyleLink w:val="StyleBulletedSymbolsymbolLeft063cmHanging063cm"/>
  </w:abstractNum>
  <w:abstractNum w:abstractNumId="33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22831"/>
    <w:multiLevelType w:val="multilevel"/>
    <w:tmpl w:val="43D6D2FA"/>
    <w:numStyleLink w:val="StyleBulletedSymbolsymbolLeft063cmHanging063cm"/>
  </w:abstractNum>
  <w:abstractNum w:abstractNumId="35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E55735"/>
    <w:multiLevelType w:val="hybridMultilevel"/>
    <w:tmpl w:val="D5D62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8098E"/>
    <w:multiLevelType w:val="hybridMultilevel"/>
    <w:tmpl w:val="92C07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365C6"/>
    <w:multiLevelType w:val="multilevel"/>
    <w:tmpl w:val="14F2DB08"/>
    <w:lvl w:ilvl="0">
      <w:start w:val="3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8"/>
  </w:num>
  <w:num w:numId="4">
    <w:abstractNumId w:val="23"/>
  </w:num>
  <w:num w:numId="5">
    <w:abstractNumId w:val="33"/>
  </w:num>
  <w:num w:numId="6">
    <w:abstractNumId w:val="37"/>
  </w:num>
  <w:num w:numId="7">
    <w:abstractNumId w:val="27"/>
  </w:num>
  <w:num w:numId="8">
    <w:abstractNumId w:val="25"/>
  </w:num>
  <w:num w:numId="9">
    <w:abstractNumId w:val="13"/>
  </w:num>
  <w:num w:numId="10">
    <w:abstractNumId w:val="18"/>
  </w:num>
  <w:num w:numId="11">
    <w:abstractNumId w:val="30"/>
  </w:num>
  <w:num w:numId="12">
    <w:abstractNumId w:val="29"/>
  </w:num>
  <w:num w:numId="13">
    <w:abstractNumId w:val="10"/>
  </w:num>
  <w:num w:numId="14">
    <w:abstractNumId w:val="40"/>
  </w:num>
  <w:num w:numId="15">
    <w:abstractNumId w:val="19"/>
  </w:num>
  <w:num w:numId="16">
    <w:abstractNumId w:val="11"/>
  </w:num>
  <w:num w:numId="17">
    <w:abstractNumId w:val="32"/>
  </w:num>
  <w:num w:numId="18">
    <w:abstractNumId w:val="12"/>
  </w:num>
  <w:num w:numId="19">
    <w:abstractNumId w:val="34"/>
  </w:num>
  <w:num w:numId="20">
    <w:abstractNumId w:val="21"/>
  </w:num>
  <w:num w:numId="21">
    <w:abstractNumId w:val="26"/>
  </w:num>
  <w:num w:numId="22">
    <w:abstractNumId w:val="14"/>
  </w:num>
  <w:num w:numId="23">
    <w:abstractNumId w:val="3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39"/>
  </w:num>
  <w:num w:numId="36">
    <w:abstractNumId w:val="38"/>
  </w:num>
  <w:num w:numId="37">
    <w:abstractNumId w:val="22"/>
  </w:num>
  <w:num w:numId="38">
    <w:abstractNumId w:val="15"/>
  </w:num>
  <w:num w:numId="39">
    <w:abstractNumId w:val="24"/>
  </w:num>
  <w:num w:numId="40">
    <w:abstractNumId w:val="20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B08EF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263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AF7"/>
    <w:rsid w:val="00412C1F"/>
    <w:rsid w:val="00421CB2"/>
    <w:rsid w:val="004268B9"/>
    <w:rsid w:val="0043203C"/>
    <w:rsid w:val="00433B96"/>
    <w:rsid w:val="004440F1"/>
    <w:rsid w:val="004456DD"/>
    <w:rsid w:val="00446CDF"/>
    <w:rsid w:val="004521B7"/>
    <w:rsid w:val="00462AB5"/>
    <w:rsid w:val="00465EAF"/>
    <w:rsid w:val="004711FC"/>
    <w:rsid w:val="004738C5"/>
    <w:rsid w:val="00475860"/>
    <w:rsid w:val="00484329"/>
    <w:rsid w:val="00491046"/>
    <w:rsid w:val="004A2AC7"/>
    <w:rsid w:val="004A6D2F"/>
    <w:rsid w:val="004A76CE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269F1"/>
    <w:rsid w:val="00633578"/>
    <w:rsid w:val="00637068"/>
    <w:rsid w:val="00650811"/>
    <w:rsid w:val="00661D3E"/>
    <w:rsid w:val="00692627"/>
    <w:rsid w:val="00695074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6F6B78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B293F"/>
    <w:rsid w:val="008B7371"/>
    <w:rsid w:val="008D3DDB"/>
    <w:rsid w:val="008F1DD0"/>
    <w:rsid w:val="008F573F"/>
    <w:rsid w:val="009000F1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8784B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71582"/>
    <w:rsid w:val="00A77147"/>
    <w:rsid w:val="00A92D8F"/>
    <w:rsid w:val="00A955E7"/>
    <w:rsid w:val="00AB2988"/>
    <w:rsid w:val="00AB7999"/>
    <w:rsid w:val="00AD3292"/>
    <w:rsid w:val="00AE7AF0"/>
    <w:rsid w:val="00B500CA"/>
    <w:rsid w:val="00B86314"/>
    <w:rsid w:val="00B912FC"/>
    <w:rsid w:val="00BA1C2E"/>
    <w:rsid w:val="00BC200B"/>
    <w:rsid w:val="00BC4756"/>
    <w:rsid w:val="00BC69A4"/>
    <w:rsid w:val="00BD7C7D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3ACE"/>
    <w:rsid w:val="00D26D1E"/>
    <w:rsid w:val="00D474CF"/>
    <w:rsid w:val="00D5547E"/>
    <w:rsid w:val="00D869A1"/>
    <w:rsid w:val="00DA413F"/>
    <w:rsid w:val="00DA4584"/>
    <w:rsid w:val="00DA614B"/>
    <w:rsid w:val="00DC3060"/>
    <w:rsid w:val="00DD33CB"/>
    <w:rsid w:val="00DE0FB2"/>
    <w:rsid w:val="00DF093E"/>
    <w:rsid w:val="00E01F42"/>
    <w:rsid w:val="00E206D6"/>
    <w:rsid w:val="00E3366E"/>
    <w:rsid w:val="00E52086"/>
    <w:rsid w:val="00E543A6"/>
    <w:rsid w:val="00E574CA"/>
    <w:rsid w:val="00E60479"/>
    <w:rsid w:val="00E61D73"/>
    <w:rsid w:val="00E67236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26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26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C4A4-8C74-40E7-BDF1-22C8D203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686F105F</Template>
  <TotalTime>7</TotalTime>
  <Pages>4</Pages>
  <Words>609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5</cp:revision>
  <cp:lastPrinted>2019-09-17T11:37:00Z</cp:lastPrinted>
  <dcterms:created xsi:type="dcterms:W3CDTF">2019-09-17T12:28:00Z</dcterms:created>
  <dcterms:modified xsi:type="dcterms:W3CDTF">2019-09-17T13:40:00Z</dcterms:modified>
</cp:coreProperties>
</file>